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7" w:rsidRDefault="00471AB5" w:rsidP="00CC2D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В. В. Покровский – о профилактике ВИЧ, методах диагностики и средствах борьбы с вирусом иммунодефицита, антиретровирусной терапии и разработке вакцины</w:t>
      </w:r>
    </w:p>
    <w:p w:rsidR="00662957" w:rsidRDefault="00662957" w:rsidP="00CC2D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iCs/>
          <w:color w:val="000000" w:themeColor="text1"/>
        </w:rPr>
      </w:pPr>
      <w:r>
        <w:rPr>
          <w:rFonts w:ascii="Times New Roman" w:hAnsi="Times New Roman"/>
          <w:i/>
          <w:iCs/>
          <w:sz w:val="30"/>
          <w:szCs w:val="30"/>
          <w:u w:val="single"/>
        </w:rPr>
        <w:t>Спикер:</w:t>
      </w:r>
      <w:r>
        <w:rPr>
          <w:rFonts w:ascii="Times New Roman" w:hAnsi="Times New Roman"/>
          <w:i/>
          <w:iCs/>
          <w:sz w:val="30"/>
          <w:szCs w:val="30"/>
        </w:rPr>
        <w:t xml:space="preserve"> Вадим Валентинович Покровский, советский и российский медик, д.м.н., профессор, академик РАН, заведующий специализированным научно-исследовательским отделом по профилактике и борьбе со СПИДом ЦНИИ Эпидемиологии </w:t>
      </w:r>
      <w:proofErr w:type="spellStart"/>
      <w:r>
        <w:rPr>
          <w:rFonts w:ascii="Times New Roman" w:hAnsi="Times New Roman"/>
          <w:i/>
          <w:iCs/>
          <w:sz w:val="30"/>
          <w:szCs w:val="30"/>
        </w:rPr>
        <w:t>Роспотребнадзора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>.</w:t>
      </w:r>
    </w:p>
    <w:p w:rsidR="00662957" w:rsidRDefault="00662957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</w:pPr>
    </w:p>
    <w:p w:rsidR="00662957" w:rsidRDefault="00662957" w:rsidP="00CC2D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– Вадим Валентинович, скажите, пожалуйста, что в первую очередь нужно знать про ВИЧ?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Нужно отметить, что ВИЧ-инфекция – пожизненное заболевание. Безусловно, лечение есть, но это довольно сложный процесс, и полного выздоровления не происходит. Важно вовремя пройти обследование и своевременно начать лечение. Но главное – постараться не заразиться этим вирусом, принимать все меры предосторожности.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– Лечение назначают при начальной форме ВИЧ-инфекции или уже на конечной стадии, когда развивается СПИД?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Лечение ВИЧ-инфекции эффективно на всех стадиях заболевания. В том числе и в периоды, когда развивается СПИД. Правда, если до этого дошло, значит, присоединилось еще много других заболеваний, которые тоже надо лечить. Поэтому в стадии СПИДа лечиться значительно труднее, надо принимать много лекарств одновременно. </w:t>
      </w:r>
      <w:proofErr w:type="gramStart"/>
      <w:r>
        <w:rPr>
          <w:rFonts w:ascii="Times New Roman" w:hAnsi="Times New Roman"/>
          <w:sz w:val="30"/>
          <w:szCs w:val="30"/>
        </w:rPr>
        <w:t>Но</w:t>
      </w:r>
      <w:proofErr w:type="gramEnd"/>
      <w:r>
        <w:rPr>
          <w:rFonts w:ascii="Times New Roman" w:hAnsi="Times New Roman"/>
          <w:sz w:val="30"/>
          <w:szCs w:val="30"/>
        </w:rPr>
        <w:t xml:space="preserve"> тем не менее многие больные СПИДом, точнее, те, у кого были уже все проявления болезни, по результатам терапии восстановились, их иммунитет повысился, и они прожили еще много лет.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– У некоторых людей бывает врожденный иммунодефицит. Это как-то связано с ВИЧ?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Нет, врожденный иммунодефицит – это генетически обусловленное нарушение иммунитета. Тут противовирусное лечение не поможет, потому что вируса нет как такового. Здесь нужны совершенно другие методы лечения. И наоборот, лекарства для восстановления иммунитета в случае с ВИЧ-инфекцией не действуют. Там главное – подавить вирус.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– Что касается лечения ВИЧ: можем ли мы сказать, что в большинстве стран мира государство берет на себя обеспечение больных медикаментами?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Да, но есть проблема в развивающихся странах. Там лечение в основном обеспечивается за счет помощи международных фондов. Они, естественно, формируются из средств, которые туда направляют богатые страны. Например, Глобальный фонд по борьбе со СПИДом, туберкулезом и малярией. В его организации принимал участие и наш президент в 2000-х годах. За счет этого фонда лечатся многие больные люди в развивающихся странах.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Однако</w:t>
      </w:r>
      <w:proofErr w:type="gramStart"/>
      <w:r>
        <w:rPr>
          <w:rFonts w:ascii="Times New Roman" w:hAnsi="Times New Roman"/>
          <w:sz w:val="30"/>
          <w:szCs w:val="30"/>
        </w:rPr>
        <w:t>,</w:t>
      </w:r>
      <w:proofErr w:type="gramEnd"/>
      <w:r>
        <w:rPr>
          <w:rFonts w:ascii="Times New Roman" w:hAnsi="Times New Roman"/>
          <w:sz w:val="30"/>
          <w:szCs w:val="30"/>
        </w:rPr>
        <w:t xml:space="preserve"> когда случаются какие-то социальные пертурбации, могут возникнуть проблемы. Например, в связи с пандемией </w:t>
      </w:r>
      <w:proofErr w:type="spellStart"/>
      <w:r>
        <w:rPr>
          <w:rFonts w:ascii="Times New Roman" w:hAnsi="Times New Roman"/>
          <w:sz w:val="30"/>
          <w:szCs w:val="30"/>
        </w:rPr>
        <w:t>коронавируса</w:t>
      </w:r>
      <w:proofErr w:type="spellEnd"/>
      <w:r>
        <w:rPr>
          <w:rFonts w:ascii="Times New Roman" w:hAnsi="Times New Roman"/>
          <w:sz w:val="30"/>
          <w:szCs w:val="30"/>
        </w:rPr>
        <w:t xml:space="preserve"> очень много средств ушло на борьбу с ним, поэтому не хватало лека</w:t>
      </w:r>
      <w:proofErr w:type="gramStart"/>
      <w:r>
        <w:rPr>
          <w:rFonts w:ascii="Times New Roman" w:hAnsi="Times New Roman"/>
          <w:sz w:val="30"/>
          <w:szCs w:val="30"/>
        </w:rPr>
        <w:t>рств в р</w:t>
      </w:r>
      <w:proofErr w:type="gramEnd"/>
      <w:r>
        <w:rPr>
          <w:rFonts w:ascii="Times New Roman" w:hAnsi="Times New Roman"/>
          <w:sz w:val="30"/>
          <w:szCs w:val="30"/>
        </w:rPr>
        <w:t xml:space="preserve">азвивающихся странах, и в результате там ухудшилась ситуация с ВИЧ-инфекцией, стало больше заражений, больше смертей. В этот период в нашей стране некоторые пациенты тоже не получали вовремя лекарства, так как из-за карантинов не могли добраться до места, где их выдают. Но эту проблему удалось быстро преодолеть. Тем не </w:t>
      </w:r>
      <w:proofErr w:type="gramStart"/>
      <w:r>
        <w:rPr>
          <w:rFonts w:ascii="Times New Roman" w:hAnsi="Times New Roman"/>
          <w:sz w:val="30"/>
          <w:szCs w:val="30"/>
        </w:rPr>
        <w:t>менее</w:t>
      </w:r>
      <w:proofErr w:type="gramEnd"/>
      <w:r>
        <w:rPr>
          <w:rFonts w:ascii="Times New Roman" w:hAnsi="Times New Roman"/>
          <w:sz w:val="30"/>
          <w:szCs w:val="30"/>
        </w:rPr>
        <w:t xml:space="preserve"> борьба с ВИЧ-инфекцией, которая основана на постоянном применении этих антиретровирусных препаратов, связана с деньгами, с экономикой. И, конечно, ученым нужно искать более эффективные и менее дорогие методы борьбы с этим заболеванием.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– Есть ли какие-то уникальные передовые российские разработки тестов и лекарств от ВИЧ?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Что касается тестов, то их сейчас много и они во всем мире примерно одинаковые. Это и тесты для диагностики ВИЧ-инфекций, обнаружения антител, генов, антигенов, самого вируса. Все это производится как в России, так и за рубежом. Но наиболее интересная современная методика – это обнаружение вируса, который спрятался в клетках, в геноме, из-за которого нельзя долечить это заболевание до конца. Мы назначаем препараты, вроде бы вирус исчез, а потом, как только лечение отменяем, вирус откуда-то выползает. Но мы уже знаем, что он прячется в геноме клеток. А сколько там этого вируса, мы сейчас можем определить с помощью новой </w:t>
      </w:r>
      <w:r>
        <w:rPr>
          <w:rFonts w:ascii="Times New Roman" w:hAnsi="Times New Roman"/>
          <w:color w:val="0B131E"/>
          <w:sz w:val="30"/>
          <w:szCs w:val="30"/>
          <w:shd w:val="clear" w:color="auto" w:fill="FFFFFF"/>
        </w:rPr>
        <w:t xml:space="preserve">тест-системы для быстрой диагностики ВИЧ на основе </w:t>
      </w:r>
      <w:r>
        <w:rPr>
          <w:rFonts w:ascii="Times New Roman" w:hAnsi="Times New Roman"/>
          <w:color w:val="0B131E"/>
          <w:sz w:val="30"/>
          <w:szCs w:val="30"/>
          <w:shd w:val="clear" w:color="auto" w:fill="FFFFFF"/>
        </w:rPr>
        <w:lastRenderedPageBreak/>
        <w:t xml:space="preserve">ПЦР, </w:t>
      </w:r>
      <w:r>
        <w:rPr>
          <w:rFonts w:ascii="Times New Roman" w:hAnsi="Times New Roman"/>
          <w:sz w:val="30"/>
          <w:szCs w:val="30"/>
        </w:rPr>
        <w:t xml:space="preserve">которую недавно запатентовал </w:t>
      </w:r>
      <w:r>
        <w:rPr>
          <w:rFonts w:ascii="Times New Roman" w:hAnsi="Times New Roman"/>
          <w:color w:val="0B131E"/>
          <w:sz w:val="30"/>
          <w:szCs w:val="30"/>
          <w:shd w:val="clear" w:color="auto" w:fill="FFFFFF"/>
        </w:rPr>
        <w:t xml:space="preserve">ЦНИИ эпидемиологии </w:t>
      </w:r>
      <w:proofErr w:type="spellStart"/>
      <w:r>
        <w:rPr>
          <w:rFonts w:ascii="Times New Roman" w:hAnsi="Times New Roman"/>
          <w:color w:val="0B131E"/>
          <w:sz w:val="30"/>
          <w:szCs w:val="30"/>
          <w:shd w:val="clear" w:color="auto" w:fill="FFFFFF"/>
        </w:rPr>
        <w:t>Роспотребнадзора</w:t>
      </w:r>
      <w:proofErr w:type="spellEnd"/>
      <w:r>
        <w:rPr>
          <w:rFonts w:ascii="Times New Roman" w:hAnsi="Times New Roman"/>
          <w:color w:val="0B131E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Это нам поможет в разработке радикальных лекарств, полностью излечивающих от ВИЧ-инфекции. Сейчас главная задача – найти такие лекарства.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– Часто можно слышать о разработке вакцины против ВИЧ. Есть ли успехи в этой области?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К сожалению, ВИЧ оказался очень коварным заболеванием, от него пока никто не излечи</w:t>
      </w:r>
      <w:r w:rsidR="00095DA5">
        <w:rPr>
          <w:rFonts w:ascii="Times New Roman" w:hAnsi="Times New Roman"/>
          <w:sz w:val="30"/>
          <w:szCs w:val="30"/>
        </w:rPr>
        <w:t>лся</w:t>
      </w:r>
      <w:r>
        <w:rPr>
          <w:rFonts w:ascii="Times New Roman" w:hAnsi="Times New Roman"/>
          <w:sz w:val="30"/>
          <w:szCs w:val="30"/>
        </w:rPr>
        <w:t xml:space="preserve">. Это связано с тем, что не формируется </w:t>
      </w:r>
      <w:r w:rsidRPr="00095DA5">
        <w:rPr>
          <w:rFonts w:ascii="Times New Roman" w:hAnsi="Times New Roman"/>
          <w:color w:val="000000" w:themeColor="text1"/>
          <w:sz w:val="30"/>
          <w:szCs w:val="30"/>
        </w:rPr>
        <w:t xml:space="preserve">приобретенный иммунитет, как, например, при выздоровлении от кори. </w:t>
      </w:r>
      <w:r>
        <w:rPr>
          <w:rFonts w:ascii="Times New Roman" w:hAnsi="Times New Roman"/>
          <w:sz w:val="30"/>
          <w:szCs w:val="30"/>
        </w:rPr>
        <w:t xml:space="preserve">Уже больше 35 лет идут попытки создания вакцины от ВИЧ, но пока это </w:t>
      </w:r>
      <w:proofErr w:type="gramStart"/>
      <w:r>
        <w:rPr>
          <w:rFonts w:ascii="Times New Roman" w:hAnsi="Times New Roman"/>
          <w:sz w:val="30"/>
          <w:szCs w:val="30"/>
        </w:rPr>
        <w:t>сделать</w:t>
      </w:r>
      <w:proofErr w:type="gramEnd"/>
      <w:r>
        <w:rPr>
          <w:rFonts w:ascii="Times New Roman" w:hAnsi="Times New Roman"/>
          <w:sz w:val="30"/>
          <w:szCs w:val="30"/>
        </w:rPr>
        <w:t xml:space="preserve"> еще не удалось. В этом году сообщили о том, что новая вакцина, на которую возлагали много надежд, тоже оказалась неэффективна –</w:t>
      </w:r>
      <w:r w:rsidR="00095DA5">
        <w:rPr>
          <w:rFonts w:ascii="Times New Roman" w:hAnsi="Times New Roman"/>
          <w:sz w:val="30"/>
          <w:szCs w:val="30"/>
        </w:rPr>
        <w:t xml:space="preserve"> это выяснилось после испытаний</w:t>
      </w:r>
      <w:r>
        <w:rPr>
          <w:rFonts w:ascii="Times New Roman" w:hAnsi="Times New Roman"/>
          <w:sz w:val="30"/>
          <w:szCs w:val="30"/>
        </w:rPr>
        <w:t xml:space="preserve">. Видимо, нужно искать какой-то совершенно новый способ вакцинации. Есть интересная зацепка – бывают люди с врожденным иммунитетом, они чаще встречаются среди русских и других северных народов Европы. Это обусловлено определенными генетическими характеристиками.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– Как передать этот ген остальному населению? </w:t>
      </w:r>
    </w:p>
    <w:p w:rsidR="00095DA5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Сейчас исследуются способы модификации клеток людей, чтобы они стали невосприимчивы к ВИЧ. Это перспективное направление. То есть можно изменять геном клеток человека. Некоторые онкологические заболевания уже лечат таким образом. Но если научиться эффективно и дешево менять геном клеток людей, то это будет генная вакцинация, совершенно новый альтернативный метод. Возможно, вы слышали, что некий китайский исследователь недавно попытался провести изменение генома на уровне эмбрионов. И якобы родились дети, которые уже обладали этим геном невосприимчивости к ВИЧ-инфекции. Но это трудно проверить</w:t>
      </w:r>
      <w:r w:rsidR="00095DA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любом случае мы уже очень близки к созданию таких вакцин.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– Продолжая тему профилактики. Вроде бы ВИЧ и СПИД – две такие страшные аббревиатуры, но люди к ним как-то уже привыкли.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К сожалению, да. Это одна из проблем – люди сегодня не хотят слышать об опасности, которую представляет вирус. Поэтому для нас так важно внедрять методы эффективной профилактики, заключающиеся в том, </w:t>
      </w:r>
      <w:r>
        <w:rPr>
          <w:rFonts w:ascii="Times New Roman" w:hAnsi="Times New Roman"/>
          <w:sz w:val="30"/>
          <w:szCs w:val="30"/>
        </w:rPr>
        <w:lastRenderedPageBreak/>
        <w:t xml:space="preserve">чтобы добиться мотивированного изменения поведения населения. Не просто проинформировать, а сформировать мотивацию к безопасному поведению. Для безопасного пищевого поведения тоже должна быть мотивация, но там легче: «Если ты съешь какую-нибудь </w:t>
      </w:r>
      <w:proofErr w:type="gramStart"/>
      <w:r>
        <w:rPr>
          <w:rFonts w:ascii="Times New Roman" w:hAnsi="Times New Roman"/>
          <w:sz w:val="30"/>
          <w:szCs w:val="30"/>
        </w:rPr>
        <w:t>дрянь</w:t>
      </w:r>
      <w:proofErr w:type="gramEnd"/>
      <w:r>
        <w:rPr>
          <w:rFonts w:ascii="Times New Roman" w:hAnsi="Times New Roman"/>
          <w:sz w:val="30"/>
          <w:szCs w:val="30"/>
        </w:rPr>
        <w:t xml:space="preserve">, то заболеешь». А у нас более сложная задача: нужно, чтобы человек учитывал, что вирус хитрее нас, он оккупировал нашу сферу размножения. А регулировать половое поведение людей очень сложно.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– Какие инструменты профилактики могут быть?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Давно известно, что самый эффективный метод профилактики ВИЧ – использование презерватива. Было подсчитано, что если люди в 80% половых актов будут использовать презерватив, то передача ВИЧ прекратится. Однако оказалось, что заставить людей пользоваться презервативом не так-то легко. То нет денег на покупку, то некогда, многие – особенно молодые люди – стесняются купить его даже в аптеке, не говоря уже о том, чтобы предложить партнеру им воспользоваться.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– Как донести информацию до подростков?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Представьте, выбор: купить бутылку пива или презерватив. Есть опасение, что подросток все-таки предпочтет пиво. И это усугубит дальнейший ход событий. Поэтому надо создавать мотивацию. Но мы сталкиваемся и с другой проблемой: многие педагоги отказываются заниматься половым просвещением, считая, что этой темой должны заниматься родители. Но, на мой взгляд, большинство родителей просто не </w:t>
      </w:r>
      <w:proofErr w:type="gramStart"/>
      <w:r>
        <w:rPr>
          <w:rFonts w:ascii="Times New Roman" w:hAnsi="Times New Roman"/>
          <w:sz w:val="30"/>
          <w:szCs w:val="30"/>
        </w:rPr>
        <w:t>обучены</w:t>
      </w:r>
      <w:proofErr w:type="gramEnd"/>
      <w:r>
        <w:rPr>
          <w:rFonts w:ascii="Times New Roman" w:hAnsi="Times New Roman"/>
          <w:sz w:val="30"/>
          <w:szCs w:val="30"/>
        </w:rPr>
        <w:t xml:space="preserve">. Поэтому вопрос стоит очень остро, буквально на законодательном уровне. Но, к счастью, у нас пока не так много случаев заражения ВИЧ половым путем среди молодежи. Ведь чтобы заразиться, надо иметь определенный сексуальный опыт. Так что большая часть новых случаев выявляется у людей 30–40 лет.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– Что еще, помимо использования презервативов, поможет профилактике ВИЧ?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Безопасное поведение. Все знают про опасность случайных половых связей. И, может быть, даже пользуются презервативами в таких случаях. И даже не думают, что опасной может быть и устойчивая связь без измен. А это ошибка, потому что многие случаи передачи ВИЧ половым путем связаны именно с такими ситуациями. Человек был инфицирован, стал </w:t>
      </w:r>
      <w:r>
        <w:rPr>
          <w:rFonts w:ascii="Times New Roman" w:hAnsi="Times New Roman"/>
          <w:sz w:val="30"/>
          <w:szCs w:val="30"/>
        </w:rPr>
        <w:lastRenderedPageBreak/>
        <w:t xml:space="preserve">жить вместе с </w:t>
      </w:r>
      <w:proofErr w:type="gramStart"/>
      <w:r>
        <w:rPr>
          <w:rFonts w:ascii="Times New Roman" w:hAnsi="Times New Roman"/>
          <w:sz w:val="30"/>
          <w:szCs w:val="30"/>
        </w:rPr>
        <w:t>партнером</w:t>
      </w:r>
      <w:proofErr w:type="gramEnd"/>
      <w:r>
        <w:rPr>
          <w:rFonts w:ascii="Times New Roman" w:hAnsi="Times New Roman"/>
          <w:sz w:val="30"/>
          <w:szCs w:val="30"/>
        </w:rPr>
        <w:t xml:space="preserve"> и заразил его. Поэтому, прежде чем перестать пользоваться презервативом, надо сдать анализ. Даже если выяснится, что кто-то </w:t>
      </w:r>
      <w:proofErr w:type="gramStart"/>
      <w:r>
        <w:rPr>
          <w:rFonts w:ascii="Times New Roman" w:hAnsi="Times New Roman"/>
          <w:sz w:val="30"/>
          <w:szCs w:val="30"/>
        </w:rPr>
        <w:t>ВИЧ-положителен</w:t>
      </w:r>
      <w:proofErr w:type="gramEnd"/>
      <w:r>
        <w:rPr>
          <w:rFonts w:ascii="Times New Roman" w:hAnsi="Times New Roman"/>
          <w:sz w:val="30"/>
          <w:szCs w:val="30"/>
        </w:rPr>
        <w:t xml:space="preserve">, это еще не значит, что пара распадется. Потому что, если человек принимает препараты от ВИЧ, он не заразит партнера. Кстати, если женщина принимает лекарства, то ребенок у нее родится здоровым.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– А эти лекарства не влияют на ход беременности?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Пока не выявлено существенного влияния. И поскольку эти лекарства предоставляет государство бе</w:t>
      </w:r>
      <w:r w:rsidR="000C52A5">
        <w:rPr>
          <w:rFonts w:ascii="Times New Roman" w:hAnsi="Times New Roman"/>
          <w:sz w:val="30"/>
          <w:szCs w:val="30"/>
        </w:rPr>
        <w:t>сплатно, если препарат действовал бы</w:t>
      </w:r>
      <w:r>
        <w:rPr>
          <w:rFonts w:ascii="Times New Roman" w:hAnsi="Times New Roman"/>
          <w:sz w:val="30"/>
          <w:szCs w:val="30"/>
        </w:rPr>
        <w:t xml:space="preserve"> </w:t>
      </w:r>
      <w:r w:rsidR="000C52A5">
        <w:rPr>
          <w:rFonts w:ascii="Times New Roman" w:hAnsi="Times New Roman"/>
          <w:sz w:val="30"/>
          <w:szCs w:val="30"/>
        </w:rPr>
        <w:t>на плод, его просто не допустили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– Проходила информация, что у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Роспотребнадзора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существует уникальная база данных по ВИЧ-инфицированным пациентам с результатами терапии, резистентности к определенным препаратам. И что она обширнее и объемнее подобной базы Стэндфордского университета. Правда ли это?</w:t>
      </w:r>
    </w:p>
    <w:p w:rsidR="00662957" w:rsidRDefault="00471AB5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У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нас существует несколько баз. С 1987 года ведется база данных по всем людям, у которых выявлена ВИЧ-инфекция в Российской Федерации. То есть там хранятся практически все </w:t>
      </w:r>
      <w:r w:rsidRPr="000C52A5">
        <w:rPr>
          <w:rFonts w:ascii="Times New Roman" w:hAnsi="Times New Roman"/>
          <w:color w:val="000000" w:themeColor="text1"/>
          <w:sz w:val="30"/>
          <w:szCs w:val="30"/>
        </w:rPr>
        <w:t>сведения</w:t>
      </w:r>
      <w:r>
        <w:rPr>
          <w:rFonts w:ascii="Times New Roman" w:hAnsi="Times New Roman"/>
          <w:sz w:val="30"/>
          <w:szCs w:val="30"/>
        </w:rPr>
        <w:t>, начиная с первых зарегистрированных зараженных в Элисте. Несколько лет назад появилась еще одна база – по выделенным штаммам ВИЧ и по их чувствительности к применяемым лекарствам. Это очень важная база, она имеет большое практическое значение. Дело в том, что вирус не только начинает размножаться после того, как лекарства отменяются, он еще может вырабатывать устойчивость к этим препаратам. И поэтому очень важно иметь такую базу данных, чтобы знать, какие лекарства использовать.</w:t>
      </w:r>
    </w:p>
    <w:p w:rsidR="00662957" w:rsidRDefault="00662957" w:rsidP="00CC2D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276" w:lineRule="auto"/>
        <w:jc w:val="both"/>
      </w:pPr>
      <w:bookmarkStart w:id="0" w:name="_GoBack"/>
      <w:bookmarkEnd w:id="0"/>
    </w:p>
    <w:sectPr w:rsidR="00662957">
      <w:footerReference w:type="default" r:id="rId7"/>
      <w:pgSz w:w="11900" w:h="16840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B3" w:rsidRDefault="00784CB3">
      <w:r>
        <w:separator/>
      </w:r>
    </w:p>
  </w:endnote>
  <w:endnote w:type="continuationSeparator" w:id="0">
    <w:p w:rsidR="00784CB3" w:rsidRDefault="0078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Wingdings 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23290"/>
      <w:docPartObj>
        <w:docPartGallery w:val="Page Numbers (Bottom of Page)"/>
        <w:docPartUnique/>
      </w:docPartObj>
    </w:sdtPr>
    <w:sdtEndPr/>
    <w:sdtContent>
      <w:p w:rsidR="00A8603A" w:rsidRDefault="00A8603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BB" w:rsidRPr="00CC2DBB">
          <w:rPr>
            <w:noProof/>
            <w:lang w:val="ru-RU"/>
          </w:rPr>
          <w:t>5</w:t>
        </w:r>
        <w:r>
          <w:fldChar w:fldCharType="end"/>
        </w:r>
      </w:p>
    </w:sdtContent>
  </w:sdt>
  <w:p w:rsidR="00A8603A" w:rsidRDefault="00A860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B3" w:rsidRDefault="00784CB3">
      <w:r>
        <w:separator/>
      </w:r>
    </w:p>
  </w:footnote>
  <w:footnote w:type="continuationSeparator" w:id="0">
    <w:p w:rsidR="00784CB3" w:rsidRDefault="0078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57"/>
    <w:rsid w:val="00095DA5"/>
    <w:rsid w:val="000C52A5"/>
    <w:rsid w:val="00471AB5"/>
    <w:rsid w:val="00662957"/>
    <w:rsid w:val="00784CB3"/>
    <w:rsid w:val="00A8603A"/>
    <w:rsid w:val="00C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887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90C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78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2A1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15A9FF" w:themeColor="accent1" w:themeTint="EA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60D836" w:themeColor="accent3" w:themeTint="FE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  <w:insideV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783" w:themeColor="accent4" w:themeTint="9A"/>
          <w:left w:val="single" w:sz="4" w:space="0" w:color="FFE783" w:themeColor="accent4" w:themeTint="9A"/>
          <w:bottom w:val="single" w:sz="4" w:space="0" w:color="FFE783" w:themeColor="accent4" w:themeTint="9A"/>
          <w:right w:val="single" w:sz="4" w:space="0" w:color="FFE783" w:themeColor="accent4" w:themeTint="9A"/>
        </w:tcBorders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FF644E" w:themeColor="accent5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2A1" w:themeColor="accent6"/>
          <w:left w:val="single" w:sz="4" w:space="0" w:color="FF42A1" w:themeColor="accent6"/>
          <w:bottom w:val="single" w:sz="4" w:space="0" w:color="FF42A1" w:themeColor="accent6"/>
          <w:right w:val="single" w:sz="4" w:space="0" w:color="FF42A1" w:themeColor="accent6"/>
        </w:tcBorders>
        <w:shd w:val="clear" w:color="FF42A1" w:themeColor="accent6" w:fill="FF42A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BECFF" w:themeColor="accent1" w:themeTint="34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A2FF" w:themeColor="accent1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band1Vert">
      <w:tblPr/>
      <w:tcPr>
        <w:shd w:val="clear" w:color="8AD4FF" w:themeColor="accent1" w:themeTint="75" w:fill="8AD4FF" w:themeFill="accent1" w:themeFillTint="75"/>
      </w:tcPr>
    </w:tblStylePr>
    <w:tblStylePr w:type="band1Horz">
      <w:tblPr/>
      <w:tcPr>
        <w:shd w:val="clear" w:color="8AD4FF" w:themeColor="accent1" w:themeTint="75" w:fill="8AD4F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FAF5" w:themeColor="accent2" w:themeTint="32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6E7CF" w:themeColor="accent2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band1Vert">
      <w:tblPr/>
      <w:tcPr>
        <w:shd w:val="clear" w:color="93F4E9" w:themeColor="accent2" w:themeTint="75" w:fill="93F4E9" w:themeFill="accent2" w:themeFillTint="75"/>
      </w:tcPr>
    </w:tblStylePr>
    <w:tblStylePr w:type="band1Horz">
      <w:tblPr/>
      <w:tcPr>
        <w:shd w:val="clear" w:color="93F4E9" w:themeColor="accent2" w:themeTint="75" w:fill="93F4E9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F7D5" w:themeColor="accent3" w:themeTint="34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1D836" w:themeColor="accent3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band1Vert">
      <w:tblPr/>
      <w:tcPr>
        <w:shd w:val="clear" w:color="B6EDA2" w:themeColor="accent3" w:themeTint="75" w:fill="B6EDA2" w:themeFill="accent3" w:themeFillTint="75"/>
      </w:tcPr>
    </w:tblStylePr>
    <w:tblStylePr w:type="band1Horz">
      <w:tblPr/>
      <w:tcPr>
        <w:shd w:val="clear" w:color="B6EDA2" w:themeColor="accent3" w:themeTint="75" w:fill="B6EDA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7D5" w:themeColor="accent4" w:themeTint="34" w:fill="FFF7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D932" w:themeColor="accent4" w:fill="FFD9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band1Vert">
      <w:tblPr/>
      <w:tcPr>
        <w:shd w:val="clear" w:color="FFEDA0" w:themeColor="accent4" w:themeTint="75" w:fill="FFEDA0" w:themeFill="accent4" w:themeFillTint="75"/>
      </w:tcPr>
    </w:tblStylePr>
    <w:tblStylePr w:type="band1Horz">
      <w:tblPr/>
      <w:tcPr>
        <w:shd w:val="clear" w:color="FFEDA0" w:themeColor="accent4" w:themeTint="75" w:fill="FFEDA0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FDA" w:themeColor="accent5" w:themeTint="34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644E" w:themeColor="accent5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band1Vert">
      <w:tblPr/>
      <w:tcPr>
        <w:shd w:val="clear" w:color="FFB7AD" w:themeColor="accent5" w:themeTint="75" w:fill="FFB7AD" w:themeFill="accent5" w:themeFillTint="75"/>
      </w:tcPr>
    </w:tblStylePr>
    <w:tblStylePr w:type="band1Horz">
      <w:tblPr/>
      <w:tcPr>
        <w:shd w:val="clear" w:color="FFB7AD" w:themeColor="accent5" w:themeTint="75" w:fill="FFB7AD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8EB" w:themeColor="accent6" w:themeTint="34" w:fill="FFD8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42A1" w:themeColor="accent6" w:fill="FF42A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band1Vert">
      <w:tblPr/>
      <w:tcPr>
        <w:shd w:val="clear" w:color="FFA8D3" w:themeColor="accent6" w:themeTint="75" w:fill="FFA8D3" w:themeFill="accent6" w:themeFillTint="75"/>
      </w:tcPr>
    </w:tblStylePr>
    <w:tblStylePr w:type="band1Horz">
      <w:tblPr/>
      <w:tcPr>
        <w:shd w:val="clear" w:color="FFA8D3" w:themeColor="accent6" w:themeTint="75" w:fill="FFA8D3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F42A1" w:themeColor="accent6"/>
        <w:left w:val="single" w:sz="4" w:space="0" w:color="FF42A1" w:themeColor="accent6"/>
        <w:bottom w:val="single" w:sz="4" w:space="0" w:color="FF42A1" w:themeColor="accent6"/>
        <w:right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42A1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D0FF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D0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7FD0FF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0D836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0D83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60D836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79B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single" w:sz="4" w:space="0" w:color="FFA79B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94C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single" w:sz="4" w:space="0" w:color="FF94C9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BB005E" w:themeColor="accent6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BB005E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9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9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42A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tblPr/>
      <w:tcPr>
        <w:shd w:val="clear" w:color="FFCFE7" w:themeColor="accent6" w:themeTint="40" w:fill="FFCFE7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E98B" w:themeColor="accent4" w:themeTint="90"/>
        <w:bottom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F94C9" w:themeColor="accent6" w:themeTint="90"/>
        <w:bottom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E786" w:themeColor="accent3" w:themeTint="98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783" w:themeColor="accent4" w:themeTint="9A"/>
          <w:right w:val="single" w:sz="4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783" w:themeColor="accent4" w:themeTint="9A"/>
          <w:bottom w:val="single" w:sz="4" w:space="0" w:color="FFE783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194" w:themeColor="accent5" w:themeTint="9A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F8EC6" w:themeColor="accent6" w:themeTint="98"/>
        <w:left w:val="single" w:sz="4" w:space="0" w:color="FF8EC6" w:themeColor="accent6" w:themeTint="98"/>
        <w:bottom w:val="single" w:sz="4" w:space="0" w:color="FF8EC6" w:themeColor="accent6" w:themeTint="98"/>
        <w:right w:val="single" w:sz="4" w:space="0" w:color="FF8EC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8EC6" w:themeColor="accent6" w:themeTint="98" w:fill="FF8EC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EC6" w:themeColor="accent6" w:themeTint="98"/>
          <w:right w:val="single" w:sz="4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EC6" w:themeColor="accent6" w:themeTint="98"/>
          <w:bottom w:val="single" w:sz="4" w:space="0" w:color="FF8EC6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00A2FF" w:themeColor="accent1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A2FF" w:themeColor="accent1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73F1E3" w:themeColor="accent2" w:themeTint="97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0E786" w:themeColor="accent3" w:themeTint="98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E783" w:themeColor="accent4" w:themeTint="9A"/>
        <w:left w:val="single" w:sz="32" w:space="0" w:color="FFE783" w:themeColor="accent4" w:themeTint="9A"/>
        <w:bottom w:val="single" w:sz="32" w:space="0" w:color="FFE783" w:themeColor="accent4" w:themeTint="9A"/>
        <w:right w:val="single" w:sz="32" w:space="0" w:color="FFE783" w:themeColor="accent4" w:themeTint="9A"/>
      </w:tblBorders>
      <w:shd w:val="clear" w:color="FFE783" w:themeColor="accent4" w:themeTint="9A" w:fill="FFE7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783" w:themeColor="accent4" w:themeTint="9A"/>
          <w:bottom w:val="single" w:sz="12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7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7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FFA194" w:themeColor="accent5" w:themeTint="9A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F8EC6" w:themeColor="accent6" w:themeTint="98"/>
        <w:left w:val="single" w:sz="32" w:space="0" w:color="FF8EC6" w:themeColor="accent6" w:themeTint="98"/>
        <w:bottom w:val="single" w:sz="32" w:space="0" w:color="FF8EC6" w:themeColor="accent6" w:themeTint="98"/>
        <w:right w:val="single" w:sz="32" w:space="0" w:color="FF8EC6" w:themeColor="accent6" w:themeTint="98"/>
      </w:tblBorders>
      <w:shd w:val="clear" w:color="FF8EC6" w:themeColor="accent6" w:themeTint="98" w:fill="FF8EC6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EC6" w:themeColor="accent6" w:themeTint="98"/>
          <w:bottom w:val="single" w:sz="12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EC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EC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E783" w:themeColor="accent4" w:themeTint="9A"/>
        <w:bottom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4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F8EC6" w:themeColor="accent6" w:themeTint="98"/>
        <w:bottom w:val="single" w:sz="4" w:space="0" w:color="FF8EC6" w:themeColor="accent6" w:themeTint="98"/>
      </w:tblBorders>
    </w:tblPr>
    <w:tblStylePr w:type="firstRow">
      <w:rPr>
        <w:b/>
        <w:color w:val="FF8EC6" w:themeColor="accent6" w:themeTint="98" w:themeShade="95"/>
      </w:rPr>
      <w:tblPr/>
      <w:tcPr>
        <w:tcBorders>
          <w:bottom w:val="single" w:sz="4" w:space="0" w:color="FF8EC6" w:themeColor="accent6" w:themeTint="98"/>
        </w:tcBorders>
      </w:tcPr>
    </w:tblStylePr>
    <w:tblStylePr w:type="lastRow">
      <w:rPr>
        <w:b/>
        <w:color w:val="FF8EC6" w:themeColor="accent6" w:themeTint="98" w:themeShade="95"/>
      </w:rPr>
      <w:tblPr/>
      <w:tcPr>
        <w:tcBorders>
          <w:top w:val="single" w:sz="4" w:space="0" w:color="FF8EC6" w:themeColor="accent6" w:themeTint="98"/>
        </w:tcBorders>
      </w:tcPr>
    </w:tblStylePr>
    <w:tblStylePr w:type="firstCol">
      <w:rPr>
        <w:b/>
        <w:color w:val="FF8EC6" w:themeColor="accent6" w:themeTint="98" w:themeShade="95"/>
      </w:rPr>
    </w:tblStylePr>
    <w:tblStylePr w:type="lastCol">
      <w:rPr>
        <w:b/>
        <w:color w:val="FF8EC6" w:themeColor="accent6" w:themeTint="98" w:themeShade="95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A2FF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single" w:sz="4" w:space="0" w:color="00A2FF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E786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E786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0E786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E783" w:themeColor="accent4" w:themeTint="9A"/>
      </w:tblBorders>
    </w:tblPr>
    <w:tblStylePr w:type="fir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194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19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FA194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F8EC6" w:themeColor="accent6" w:themeTint="98"/>
      </w:tblBorders>
    </w:tblPr>
    <w:tblStylePr w:type="fir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8EC6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single" w:sz="4" w:space="0" w:color="FF8EC6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8EC6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F8EC6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29000" w:themeColor="accent4" w:themeShade="95"/>
        <w:left w:val="single" w:sz="4" w:space="0" w:color="B29000" w:themeColor="accent4" w:themeShade="95"/>
        <w:bottom w:val="single" w:sz="4" w:space="0" w:color="B29000" w:themeColor="accent4" w:themeShade="95"/>
        <w:right w:val="single" w:sz="4" w:space="0" w:color="B29000" w:themeColor="accent4" w:themeShade="95"/>
        <w:insideH w:val="single" w:sz="4" w:space="0" w:color="B29000" w:themeColor="accent4" w:themeShade="95"/>
        <w:insideV w:val="single" w:sz="4" w:space="0" w:color="B29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B005E" w:themeColor="accent6" w:themeShade="95"/>
        <w:left w:val="single" w:sz="4" w:space="0" w:color="BB005E" w:themeColor="accent6" w:themeShade="95"/>
        <w:bottom w:val="single" w:sz="4" w:space="0" w:color="BB005E" w:themeColor="accent6" w:themeShade="95"/>
        <w:right w:val="single" w:sz="4" w:space="0" w:color="BB005E" w:themeColor="accent6" w:themeShade="95"/>
        <w:insideH w:val="single" w:sz="4" w:space="0" w:color="BB005E" w:themeColor="accent6" w:themeShade="95"/>
        <w:insideV w:val="single" w:sz="4" w:space="0" w:color="BB005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7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EC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EC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887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90C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78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2A1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15A9FF" w:themeColor="accent1" w:themeTint="EA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60D836" w:themeColor="accent3" w:themeTint="FE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  <w:insideV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783" w:themeColor="accent4" w:themeTint="9A"/>
          <w:left w:val="single" w:sz="4" w:space="0" w:color="FFE783" w:themeColor="accent4" w:themeTint="9A"/>
          <w:bottom w:val="single" w:sz="4" w:space="0" w:color="FFE783" w:themeColor="accent4" w:themeTint="9A"/>
          <w:right w:val="single" w:sz="4" w:space="0" w:color="FFE783" w:themeColor="accent4" w:themeTint="9A"/>
        </w:tcBorders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FF644E" w:themeColor="accent5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2A1" w:themeColor="accent6"/>
          <w:left w:val="single" w:sz="4" w:space="0" w:color="FF42A1" w:themeColor="accent6"/>
          <w:bottom w:val="single" w:sz="4" w:space="0" w:color="FF42A1" w:themeColor="accent6"/>
          <w:right w:val="single" w:sz="4" w:space="0" w:color="FF42A1" w:themeColor="accent6"/>
        </w:tcBorders>
        <w:shd w:val="clear" w:color="FF42A1" w:themeColor="accent6" w:fill="FF42A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BECFF" w:themeColor="accent1" w:themeTint="34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A2FF" w:themeColor="accent1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band1Vert">
      <w:tblPr/>
      <w:tcPr>
        <w:shd w:val="clear" w:color="8AD4FF" w:themeColor="accent1" w:themeTint="75" w:fill="8AD4FF" w:themeFill="accent1" w:themeFillTint="75"/>
      </w:tcPr>
    </w:tblStylePr>
    <w:tblStylePr w:type="band1Horz">
      <w:tblPr/>
      <w:tcPr>
        <w:shd w:val="clear" w:color="8AD4FF" w:themeColor="accent1" w:themeTint="75" w:fill="8AD4F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FAF5" w:themeColor="accent2" w:themeTint="32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6E7CF" w:themeColor="accent2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band1Vert">
      <w:tblPr/>
      <w:tcPr>
        <w:shd w:val="clear" w:color="93F4E9" w:themeColor="accent2" w:themeTint="75" w:fill="93F4E9" w:themeFill="accent2" w:themeFillTint="75"/>
      </w:tcPr>
    </w:tblStylePr>
    <w:tblStylePr w:type="band1Horz">
      <w:tblPr/>
      <w:tcPr>
        <w:shd w:val="clear" w:color="93F4E9" w:themeColor="accent2" w:themeTint="75" w:fill="93F4E9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F7D5" w:themeColor="accent3" w:themeTint="34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1D836" w:themeColor="accent3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band1Vert">
      <w:tblPr/>
      <w:tcPr>
        <w:shd w:val="clear" w:color="B6EDA2" w:themeColor="accent3" w:themeTint="75" w:fill="B6EDA2" w:themeFill="accent3" w:themeFillTint="75"/>
      </w:tcPr>
    </w:tblStylePr>
    <w:tblStylePr w:type="band1Horz">
      <w:tblPr/>
      <w:tcPr>
        <w:shd w:val="clear" w:color="B6EDA2" w:themeColor="accent3" w:themeTint="75" w:fill="B6EDA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7D5" w:themeColor="accent4" w:themeTint="34" w:fill="FFF7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D932" w:themeColor="accent4" w:fill="FFD9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band1Vert">
      <w:tblPr/>
      <w:tcPr>
        <w:shd w:val="clear" w:color="FFEDA0" w:themeColor="accent4" w:themeTint="75" w:fill="FFEDA0" w:themeFill="accent4" w:themeFillTint="75"/>
      </w:tcPr>
    </w:tblStylePr>
    <w:tblStylePr w:type="band1Horz">
      <w:tblPr/>
      <w:tcPr>
        <w:shd w:val="clear" w:color="FFEDA0" w:themeColor="accent4" w:themeTint="75" w:fill="FFEDA0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FDA" w:themeColor="accent5" w:themeTint="34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644E" w:themeColor="accent5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band1Vert">
      <w:tblPr/>
      <w:tcPr>
        <w:shd w:val="clear" w:color="FFB7AD" w:themeColor="accent5" w:themeTint="75" w:fill="FFB7AD" w:themeFill="accent5" w:themeFillTint="75"/>
      </w:tcPr>
    </w:tblStylePr>
    <w:tblStylePr w:type="band1Horz">
      <w:tblPr/>
      <w:tcPr>
        <w:shd w:val="clear" w:color="FFB7AD" w:themeColor="accent5" w:themeTint="75" w:fill="FFB7AD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8EB" w:themeColor="accent6" w:themeTint="34" w:fill="FFD8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42A1" w:themeColor="accent6" w:fill="FF42A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band1Vert">
      <w:tblPr/>
      <w:tcPr>
        <w:shd w:val="clear" w:color="FFA8D3" w:themeColor="accent6" w:themeTint="75" w:fill="FFA8D3" w:themeFill="accent6" w:themeFillTint="75"/>
      </w:tcPr>
    </w:tblStylePr>
    <w:tblStylePr w:type="band1Horz">
      <w:tblPr/>
      <w:tcPr>
        <w:shd w:val="clear" w:color="FFA8D3" w:themeColor="accent6" w:themeTint="75" w:fill="FFA8D3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F42A1" w:themeColor="accent6"/>
        <w:left w:val="single" w:sz="4" w:space="0" w:color="FF42A1" w:themeColor="accent6"/>
        <w:bottom w:val="single" w:sz="4" w:space="0" w:color="FF42A1" w:themeColor="accent6"/>
        <w:right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42A1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D0FF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D0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7FD0FF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0D836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0D83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60D836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79B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single" w:sz="4" w:space="0" w:color="FFA79B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94C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single" w:sz="4" w:space="0" w:color="FF94C9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BB005E" w:themeColor="accent6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BB005E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9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9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42A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tblPr/>
      <w:tcPr>
        <w:shd w:val="clear" w:color="FFCFE7" w:themeColor="accent6" w:themeTint="40" w:fill="FFCFE7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E98B" w:themeColor="accent4" w:themeTint="90"/>
        <w:bottom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F94C9" w:themeColor="accent6" w:themeTint="90"/>
        <w:bottom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E786" w:themeColor="accent3" w:themeTint="98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783" w:themeColor="accent4" w:themeTint="9A"/>
          <w:right w:val="single" w:sz="4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783" w:themeColor="accent4" w:themeTint="9A"/>
          <w:bottom w:val="single" w:sz="4" w:space="0" w:color="FFE783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194" w:themeColor="accent5" w:themeTint="9A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F8EC6" w:themeColor="accent6" w:themeTint="98"/>
        <w:left w:val="single" w:sz="4" w:space="0" w:color="FF8EC6" w:themeColor="accent6" w:themeTint="98"/>
        <w:bottom w:val="single" w:sz="4" w:space="0" w:color="FF8EC6" w:themeColor="accent6" w:themeTint="98"/>
        <w:right w:val="single" w:sz="4" w:space="0" w:color="FF8EC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8EC6" w:themeColor="accent6" w:themeTint="98" w:fill="FF8EC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EC6" w:themeColor="accent6" w:themeTint="98"/>
          <w:right w:val="single" w:sz="4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EC6" w:themeColor="accent6" w:themeTint="98"/>
          <w:bottom w:val="single" w:sz="4" w:space="0" w:color="FF8EC6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00A2FF" w:themeColor="accent1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A2FF" w:themeColor="accent1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73F1E3" w:themeColor="accent2" w:themeTint="97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0E786" w:themeColor="accent3" w:themeTint="98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E783" w:themeColor="accent4" w:themeTint="9A"/>
        <w:left w:val="single" w:sz="32" w:space="0" w:color="FFE783" w:themeColor="accent4" w:themeTint="9A"/>
        <w:bottom w:val="single" w:sz="32" w:space="0" w:color="FFE783" w:themeColor="accent4" w:themeTint="9A"/>
        <w:right w:val="single" w:sz="32" w:space="0" w:color="FFE783" w:themeColor="accent4" w:themeTint="9A"/>
      </w:tblBorders>
      <w:shd w:val="clear" w:color="FFE783" w:themeColor="accent4" w:themeTint="9A" w:fill="FFE7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783" w:themeColor="accent4" w:themeTint="9A"/>
          <w:bottom w:val="single" w:sz="12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7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7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FFA194" w:themeColor="accent5" w:themeTint="9A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F8EC6" w:themeColor="accent6" w:themeTint="98"/>
        <w:left w:val="single" w:sz="32" w:space="0" w:color="FF8EC6" w:themeColor="accent6" w:themeTint="98"/>
        <w:bottom w:val="single" w:sz="32" w:space="0" w:color="FF8EC6" w:themeColor="accent6" w:themeTint="98"/>
        <w:right w:val="single" w:sz="32" w:space="0" w:color="FF8EC6" w:themeColor="accent6" w:themeTint="98"/>
      </w:tblBorders>
      <w:shd w:val="clear" w:color="FF8EC6" w:themeColor="accent6" w:themeTint="98" w:fill="FF8EC6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EC6" w:themeColor="accent6" w:themeTint="98"/>
          <w:bottom w:val="single" w:sz="12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EC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EC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E783" w:themeColor="accent4" w:themeTint="9A"/>
        <w:bottom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4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F8EC6" w:themeColor="accent6" w:themeTint="98"/>
        <w:bottom w:val="single" w:sz="4" w:space="0" w:color="FF8EC6" w:themeColor="accent6" w:themeTint="98"/>
      </w:tblBorders>
    </w:tblPr>
    <w:tblStylePr w:type="firstRow">
      <w:rPr>
        <w:b/>
        <w:color w:val="FF8EC6" w:themeColor="accent6" w:themeTint="98" w:themeShade="95"/>
      </w:rPr>
      <w:tblPr/>
      <w:tcPr>
        <w:tcBorders>
          <w:bottom w:val="single" w:sz="4" w:space="0" w:color="FF8EC6" w:themeColor="accent6" w:themeTint="98"/>
        </w:tcBorders>
      </w:tcPr>
    </w:tblStylePr>
    <w:tblStylePr w:type="lastRow">
      <w:rPr>
        <w:b/>
        <w:color w:val="FF8EC6" w:themeColor="accent6" w:themeTint="98" w:themeShade="95"/>
      </w:rPr>
      <w:tblPr/>
      <w:tcPr>
        <w:tcBorders>
          <w:top w:val="single" w:sz="4" w:space="0" w:color="FF8EC6" w:themeColor="accent6" w:themeTint="98"/>
        </w:tcBorders>
      </w:tcPr>
    </w:tblStylePr>
    <w:tblStylePr w:type="firstCol">
      <w:rPr>
        <w:b/>
        <w:color w:val="FF8EC6" w:themeColor="accent6" w:themeTint="98" w:themeShade="95"/>
      </w:rPr>
    </w:tblStylePr>
    <w:tblStylePr w:type="lastCol">
      <w:rPr>
        <w:b/>
        <w:color w:val="FF8EC6" w:themeColor="accent6" w:themeTint="98" w:themeShade="95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A2FF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single" w:sz="4" w:space="0" w:color="00A2FF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E786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E786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0E786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E783" w:themeColor="accent4" w:themeTint="9A"/>
      </w:tblBorders>
    </w:tblPr>
    <w:tblStylePr w:type="fir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194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19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FA194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F8EC6" w:themeColor="accent6" w:themeTint="98"/>
      </w:tblBorders>
    </w:tblPr>
    <w:tblStylePr w:type="fir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8EC6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single" w:sz="4" w:space="0" w:color="FF8EC6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8EC6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F8EC6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29000" w:themeColor="accent4" w:themeShade="95"/>
        <w:left w:val="single" w:sz="4" w:space="0" w:color="B29000" w:themeColor="accent4" w:themeShade="95"/>
        <w:bottom w:val="single" w:sz="4" w:space="0" w:color="B29000" w:themeColor="accent4" w:themeShade="95"/>
        <w:right w:val="single" w:sz="4" w:space="0" w:color="B29000" w:themeColor="accent4" w:themeShade="95"/>
        <w:insideH w:val="single" w:sz="4" w:space="0" w:color="B29000" w:themeColor="accent4" w:themeShade="95"/>
        <w:insideV w:val="single" w:sz="4" w:space="0" w:color="B29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B005E" w:themeColor="accent6" w:themeShade="95"/>
        <w:left w:val="single" w:sz="4" w:space="0" w:color="BB005E" w:themeColor="accent6" w:themeShade="95"/>
        <w:bottom w:val="single" w:sz="4" w:space="0" w:color="BB005E" w:themeColor="accent6" w:themeShade="95"/>
        <w:right w:val="single" w:sz="4" w:space="0" w:color="BB005E" w:themeColor="accent6" w:themeShade="95"/>
        <w:insideH w:val="single" w:sz="4" w:space="0" w:color="BB005E" w:themeColor="accent6" w:themeShade="95"/>
        <w:insideV w:val="single" w:sz="4" w:space="0" w:color="BB005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7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EC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EC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nilinich</dc:creator>
  <cp:lastModifiedBy>Elena V</cp:lastModifiedBy>
  <cp:revision>4</cp:revision>
  <dcterms:created xsi:type="dcterms:W3CDTF">2023-11-02T09:40:00Z</dcterms:created>
  <dcterms:modified xsi:type="dcterms:W3CDTF">2023-12-04T08:00:00Z</dcterms:modified>
</cp:coreProperties>
</file>